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1F0598" w:rsidRDefault="00DA1899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 w:rsidRPr="00DA1899">
        <w:rPr>
          <w:b/>
          <w:u w:val="single"/>
          <w:lang w:val="uk-UA"/>
        </w:rPr>
        <w:t>01.12.2017</w:t>
      </w:r>
      <w:r w:rsidR="00ED014A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              </w:t>
      </w:r>
      <w:r w:rsidR="00ED014A">
        <w:rPr>
          <w:b/>
          <w:lang w:val="uk-UA"/>
        </w:rPr>
        <w:t xml:space="preserve">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0A24C4">
        <w:rPr>
          <w:b/>
          <w:lang w:val="uk-UA"/>
        </w:rPr>
        <w:t xml:space="preserve">      </w:t>
      </w:r>
      <w:r w:rsidR="002B0A9A">
        <w:rPr>
          <w:b/>
          <w:lang w:val="uk-UA"/>
        </w:rPr>
        <w:t>№</w:t>
      </w:r>
      <w:r w:rsidR="00ED014A">
        <w:rPr>
          <w:b/>
          <w:lang w:val="uk-UA"/>
        </w:rPr>
        <w:t xml:space="preserve"> </w:t>
      </w:r>
      <w:r>
        <w:rPr>
          <w:b/>
          <w:lang w:val="uk-UA"/>
        </w:rPr>
        <w:t>576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>У зв’язку з</w:t>
      </w:r>
      <w:r w:rsidRPr="00F151E4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9A1F07" w:rsidRPr="009A1F07">
        <w:rPr>
          <w:b w:val="0"/>
          <w:szCs w:val="28"/>
        </w:rPr>
        <w:t>необх</w:t>
      </w:r>
      <w:r w:rsidR="009A1F07">
        <w:rPr>
          <w:b w:val="0"/>
          <w:szCs w:val="28"/>
        </w:rPr>
        <w:t>і</w:t>
      </w:r>
      <w:r w:rsidR="009A1F07" w:rsidRPr="009A1F07">
        <w:rPr>
          <w:b w:val="0"/>
          <w:szCs w:val="28"/>
        </w:rPr>
        <w:t>дн</w:t>
      </w:r>
      <w:r w:rsidR="009A1F07">
        <w:rPr>
          <w:b w:val="0"/>
          <w:szCs w:val="28"/>
        </w:rPr>
        <w:t>і</w:t>
      </w:r>
      <w:r w:rsidR="009A1F07" w:rsidRPr="009A1F07">
        <w:rPr>
          <w:b w:val="0"/>
          <w:szCs w:val="28"/>
        </w:rPr>
        <w:t>стю</w:t>
      </w:r>
      <w:r w:rsidR="00F206C9">
        <w:rPr>
          <w:b w:val="0"/>
          <w:szCs w:val="28"/>
        </w:rPr>
        <w:t xml:space="preserve"> </w:t>
      </w:r>
      <w:r w:rsidR="009A1F07">
        <w:rPr>
          <w:b w:val="0"/>
          <w:szCs w:val="28"/>
        </w:rPr>
        <w:t xml:space="preserve">придбання </w:t>
      </w:r>
      <w:r w:rsidR="00D601FB">
        <w:rPr>
          <w:b w:val="0"/>
          <w:szCs w:val="28"/>
        </w:rPr>
        <w:t>музичних інструментів</w:t>
      </w:r>
      <w:r w:rsidR="009A1F07">
        <w:rPr>
          <w:b w:val="0"/>
          <w:szCs w:val="28"/>
        </w:rPr>
        <w:t xml:space="preserve"> для поліпшення матеріально</w:t>
      </w:r>
      <w:r w:rsidR="00DA1899" w:rsidRPr="00DA1899">
        <w:rPr>
          <w:b w:val="0"/>
          <w:szCs w:val="28"/>
        </w:rPr>
        <w:t xml:space="preserve"> -</w:t>
      </w:r>
      <w:r w:rsidR="009A1F07">
        <w:rPr>
          <w:b w:val="0"/>
          <w:szCs w:val="28"/>
        </w:rPr>
        <w:t xml:space="preserve"> технічної бази </w:t>
      </w:r>
      <w:r w:rsidR="00C57110">
        <w:rPr>
          <w:b w:val="0"/>
          <w:szCs w:val="28"/>
        </w:rPr>
        <w:t xml:space="preserve">та якісного проведення заходів </w:t>
      </w:r>
      <w:r w:rsidR="009A1F07">
        <w:rPr>
          <w:b w:val="0"/>
          <w:szCs w:val="28"/>
        </w:rPr>
        <w:t>школ</w:t>
      </w:r>
      <w:r w:rsidR="00C57110">
        <w:rPr>
          <w:b w:val="0"/>
          <w:szCs w:val="28"/>
        </w:rPr>
        <w:t>и</w:t>
      </w:r>
      <w:r w:rsidR="009A1F07">
        <w:rPr>
          <w:b w:val="0"/>
          <w:szCs w:val="28"/>
        </w:rPr>
        <w:t xml:space="preserve"> мистецтв за рахунок вільного залишку</w:t>
      </w:r>
      <w:r>
        <w:rPr>
          <w:b w:val="0"/>
          <w:szCs w:val="28"/>
        </w:rPr>
        <w:t xml:space="preserve"> спеціального фонду,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1045C6">
        <w:rPr>
          <w:lang w:val="uk-UA"/>
        </w:rPr>
        <w:t>Васильєва І.Г</w:t>
      </w:r>
      <w:r w:rsidR="007F6149">
        <w:rPr>
          <w:lang w:val="uk-UA"/>
        </w:rPr>
        <w:t xml:space="preserve">.)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proofErr w:type="spellStart"/>
      <w:r w:rsidR="00DA1899">
        <w:rPr>
          <w:b w:val="0"/>
          <w:szCs w:val="28"/>
          <w:lang w:val="ru-RU"/>
        </w:rPr>
        <w:t>першого</w:t>
      </w:r>
      <w:proofErr w:type="spellEnd"/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DA1899">
        <w:rPr>
          <w:b w:val="0"/>
          <w:szCs w:val="28"/>
          <w:lang w:val="ru-RU"/>
        </w:rPr>
        <w:t>Либу</w:t>
      </w:r>
      <w:proofErr w:type="spellEnd"/>
      <w:r w:rsidR="00DA1899">
        <w:rPr>
          <w:b w:val="0"/>
          <w:szCs w:val="28"/>
          <w:lang w:val="ru-RU"/>
        </w:rPr>
        <w:t xml:space="preserve"> О.В.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 w:rsidR="00DA1899">
        <w:rPr>
          <w:szCs w:val="28"/>
          <w:lang w:val="ru-RU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9A1F07" w:rsidRDefault="009A1F07" w:rsidP="002B0A9A">
      <w:pPr>
        <w:ind w:left="6020"/>
        <w:jc w:val="both"/>
        <w:rPr>
          <w:b/>
          <w:lang w:val="uk-UA"/>
        </w:rPr>
      </w:pPr>
    </w:p>
    <w:p w:rsidR="009A1F07" w:rsidRDefault="009A1F07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2B0A9A" w:rsidRPr="00417766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від   </w:t>
      </w:r>
      <w:r w:rsidR="00F37E98">
        <w:rPr>
          <w:b/>
          <w:lang w:val="uk-UA"/>
        </w:rPr>
        <w:t>____________</w:t>
      </w:r>
      <w:r w:rsidRPr="00417766">
        <w:rPr>
          <w:b/>
          <w:lang w:val="uk-UA"/>
        </w:rPr>
        <w:t xml:space="preserve"> №</w:t>
      </w:r>
      <w:r>
        <w:rPr>
          <w:b/>
          <w:lang w:val="uk-UA"/>
        </w:rPr>
        <w:t xml:space="preserve"> </w:t>
      </w:r>
      <w:r w:rsidR="00322262">
        <w:rPr>
          <w:b/>
          <w:lang w:val="uk-UA"/>
        </w:rPr>
        <w:t>__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D601FB" w:rsidRPr="00A16AAC" w:rsidTr="0030460B">
        <w:tc>
          <w:tcPr>
            <w:tcW w:w="1228" w:type="dxa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49" w:type="dxa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D601FB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01FB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205100</w:t>
            </w:r>
          </w:p>
          <w:p w:rsidR="00D601FB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 початок періоду </w:t>
            </w:r>
          </w:p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(25010100 плата за послуги, що надаються бюджетними установами згідно з їх основною діяльністю</w:t>
            </w:r>
            <w:r w:rsidRPr="00A16AAC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  <w:r w:rsidRPr="00A16AAC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601FB" w:rsidRPr="008F4F1C" w:rsidRDefault="00D601FB" w:rsidP="00D601F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75 000,00</w:t>
            </w:r>
          </w:p>
        </w:tc>
      </w:tr>
      <w:tr w:rsidR="00D601FB" w:rsidRPr="00A16AAC" w:rsidTr="0030460B">
        <w:tc>
          <w:tcPr>
            <w:tcW w:w="1228" w:type="dxa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D601FB" w:rsidRPr="00A16AAC" w:rsidRDefault="00D601FB" w:rsidP="00D601F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D601FB" w:rsidRPr="00D90BCB" w:rsidRDefault="00D601FB" w:rsidP="00D601F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601FB" w:rsidRPr="008F4F1C" w:rsidRDefault="00D601FB" w:rsidP="00D601F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75 000,00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C57110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D601FB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75 000,00</w:t>
            </w:r>
          </w:p>
        </w:tc>
      </w:tr>
      <w:tr w:rsidR="00D601FB" w:rsidRPr="00A16AAC" w:rsidTr="0030460B">
        <w:tc>
          <w:tcPr>
            <w:tcW w:w="1228" w:type="dxa"/>
            <w:shd w:val="clear" w:color="auto" w:fill="auto"/>
          </w:tcPr>
          <w:p w:rsidR="00D601FB" w:rsidRPr="00A16AAC" w:rsidRDefault="00D601FB" w:rsidP="00D16411">
            <w:pPr>
              <w:rPr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D601FB" w:rsidRPr="00A16AAC" w:rsidRDefault="00D601FB" w:rsidP="00D601F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D601FB" w:rsidRPr="00A16AAC" w:rsidRDefault="00D601FB" w:rsidP="00D601F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D601FB" w:rsidRPr="004F26AB" w:rsidRDefault="00D601FB" w:rsidP="00D601F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601FB" w:rsidRPr="008F4F1C" w:rsidRDefault="00D601FB" w:rsidP="00D601F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75 000,00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</w:t>
      </w:r>
      <w:r w:rsidR="00322262">
        <w:rPr>
          <w:b/>
          <w:lang w:val="uk-UA"/>
        </w:rPr>
        <w:t xml:space="preserve"> </w:t>
      </w:r>
      <w:r>
        <w:rPr>
          <w:b/>
          <w:lang w:val="uk-UA"/>
        </w:rPr>
        <w:t>М.</w:t>
      </w:r>
      <w:r w:rsidR="00322262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Наугольна</w:t>
      </w:r>
      <w:proofErr w:type="spellEnd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D601FB" w:rsidRDefault="00D601FB" w:rsidP="002B0A9A">
      <w:pPr>
        <w:rPr>
          <w:lang w:val="uk-UA"/>
        </w:rPr>
      </w:pPr>
    </w:p>
    <w:p w:rsidR="00D601FB" w:rsidRDefault="00D601FB" w:rsidP="002B0A9A">
      <w:pPr>
        <w:rPr>
          <w:lang w:val="uk-UA"/>
        </w:rPr>
      </w:pPr>
    </w:p>
    <w:p w:rsidR="00D601FB" w:rsidRDefault="00D601FB" w:rsidP="002B0A9A">
      <w:pPr>
        <w:rPr>
          <w:lang w:val="uk-UA"/>
        </w:rPr>
      </w:pPr>
    </w:p>
    <w:p w:rsidR="00D601FB" w:rsidRDefault="00D601FB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D16411" w:rsidRDefault="00D1641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  <w:bookmarkStart w:id="0" w:name="_GoBack"/>
      <w:bookmarkEnd w:id="0"/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A24C4"/>
    <w:rsid w:val="001045C6"/>
    <w:rsid w:val="0011290F"/>
    <w:rsid w:val="00134E24"/>
    <w:rsid w:val="00145813"/>
    <w:rsid w:val="001A584B"/>
    <w:rsid w:val="002376C8"/>
    <w:rsid w:val="00252520"/>
    <w:rsid w:val="002634C0"/>
    <w:rsid w:val="00267AE0"/>
    <w:rsid w:val="002B0A9A"/>
    <w:rsid w:val="00322262"/>
    <w:rsid w:val="003B3F18"/>
    <w:rsid w:val="003F1E5A"/>
    <w:rsid w:val="0061471D"/>
    <w:rsid w:val="007D72D8"/>
    <w:rsid w:val="007E2DF6"/>
    <w:rsid w:val="007F6149"/>
    <w:rsid w:val="008312EA"/>
    <w:rsid w:val="008602A3"/>
    <w:rsid w:val="00897A8F"/>
    <w:rsid w:val="00910798"/>
    <w:rsid w:val="009A1F07"/>
    <w:rsid w:val="009D1DD0"/>
    <w:rsid w:val="00A505EB"/>
    <w:rsid w:val="00A56A05"/>
    <w:rsid w:val="00A86C9E"/>
    <w:rsid w:val="00AA1DDC"/>
    <w:rsid w:val="00B85863"/>
    <w:rsid w:val="00BC2BE9"/>
    <w:rsid w:val="00C57110"/>
    <w:rsid w:val="00C91D58"/>
    <w:rsid w:val="00C93FF4"/>
    <w:rsid w:val="00C9526E"/>
    <w:rsid w:val="00CF2A6E"/>
    <w:rsid w:val="00D16411"/>
    <w:rsid w:val="00D601FB"/>
    <w:rsid w:val="00DA1899"/>
    <w:rsid w:val="00E24921"/>
    <w:rsid w:val="00E84847"/>
    <w:rsid w:val="00ED014A"/>
    <w:rsid w:val="00F206C9"/>
    <w:rsid w:val="00F248C2"/>
    <w:rsid w:val="00F37E98"/>
    <w:rsid w:val="00F72515"/>
    <w:rsid w:val="00FA3D7E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F59E-7B6D-4742-916A-572AE6A3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2017-12-11T07:56:00Z</cp:lastPrinted>
  <dcterms:created xsi:type="dcterms:W3CDTF">2016-12-02T07:07:00Z</dcterms:created>
  <dcterms:modified xsi:type="dcterms:W3CDTF">2017-12-11T08:00:00Z</dcterms:modified>
</cp:coreProperties>
</file>