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2E" w:rsidRPr="002B012E" w:rsidRDefault="002B012E" w:rsidP="002B0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>
            <wp:extent cx="414655" cy="54229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4229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12E" w:rsidRPr="002B012E" w:rsidRDefault="002B012E" w:rsidP="002B0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2B012E" w:rsidRPr="002B012E" w:rsidRDefault="002B012E" w:rsidP="002B0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2B012E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2B012E" w:rsidRPr="002B012E" w:rsidRDefault="002B012E" w:rsidP="002B012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2B012E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2B012E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2B012E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2B012E" w:rsidRPr="002B012E" w:rsidRDefault="002B012E" w:rsidP="002B012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2B012E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2B012E" w:rsidRPr="002B012E" w:rsidRDefault="002B012E" w:rsidP="002B012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2B012E" w:rsidRPr="002B012E" w:rsidRDefault="002B012E" w:rsidP="002B012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2B012E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2B012E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2B012E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2B012E" w:rsidRPr="002B012E" w:rsidRDefault="002B012E" w:rsidP="002B012E">
      <w:pPr>
        <w:widowControl w:val="0"/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2B012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2B012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2B012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2B012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2B012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2B012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2B012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2B012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2B012E" w:rsidRPr="002B012E" w:rsidRDefault="002B012E" w:rsidP="002B0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2B012E" w:rsidRPr="002B012E" w:rsidRDefault="002B012E" w:rsidP="002B0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</w:pPr>
      <w:r w:rsidRPr="002B012E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«01» </w:t>
      </w:r>
      <w:r w:rsidRPr="002B012E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грудня</w:t>
      </w:r>
      <w:r w:rsidRPr="002B012E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2017 р.</w:t>
      </w:r>
      <w:r w:rsidRPr="002B012E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2B012E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</w:t>
      </w:r>
      <w:r w:rsidRPr="002B012E">
        <w:rPr>
          <w:rFonts w:ascii="Times New Roman" w:eastAsia="MS Mincho" w:hAnsi="Times New Roman"/>
          <w:sz w:val="28"/>
          <w:szCs w:val="28"/>
          <w:lang w:eastAsia="ja-JP"/>
        </w:rPr>
        <w:t xml:space="preserve">  </w:t>
      </w:r>
      <w:r w:rsidRPr="002B012E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Марківка                                            № </w:t>
      </w:r>
      <w:r w:rsidRPr="002B012E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3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50</w:t>
      </w:r>
    </w:p>
    <w:p w:rsidR="002B012E" w:rsidRPr="002B012E" w:rsidRDefault="002B012E" w:rsidP="002B012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00E71" w:rsidRDefault="00B00E71" w:rsidP="00B00E71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рдження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ічної документації із </w:t>
      </w:r>
    </w:p>
    <w:p w:rsidR="00B00E71" w:rsidRDefault="00B00E71" w:rsidP="00B00E71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</w:p>
    <w:p w:rsidR="00B00E71" w:rsidRDefault="00B00E71" w:rsidP="00B00E71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меж земельн</w:t>
      </w:r>
      <w:r w:rsidR="002B012E">
        <w:rPr>
          <w:rFonts w:ascii="Times New Roman" w:eastAsia="Times New Roman" w:hAnsi="Times New Roman"/>
          <w:sz w:val="28"/>
          <w:szCs w:val="24"/>
          <w:lang w:eastAsia="ru-RU"/>
        </w:rPr>
        <w:t>их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ділян</w:t>
      </w:r>
      <w:r w:rsidR="002B012E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к </w:t>
      </w:r>
    </w:p>
    <w:p w:rsidR="00B00E71" w:rsidRDefault="00B00E71" w:rsidP="00B00E71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(пасовища, сіножаті)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власність </w:t>
      </w:r>
    </w:p>
    <w:p w:rsidR="00B00E71" w:rsidRPr="00652234" w:rsidRDefault="00B00E71" w:rsidP="00B00E71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гр.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314A65" w:rsidRPr="00314A65">
        <w:rPr>
          <w:rFonts w:ascii="Times New Roman" w:eastAsia="Times New Roman" w:hAnsi="Times New Roman"/>
          <w:sz w:val="28"/>
          <w:szCs w:val="24"/>
          <w:lang w:eastAsia="ru-RU"/>
        </w:rPr>
        <w:t>...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Сичанської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сільської ради</w:t>
      </w:r>
    </w:p>
    <w:p w:rsidR="00B00E71" w:rsidRPr="00652234" w:rsidRDefault="00B00E71" w:rsidP="00B00E71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00E71" w:rsidRPr="00652234" w:rsidRDefault="00B00E71" w:rsidP="00B00E71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 та п. 34 ст. 26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314A65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(дод</w:t>
      </w:r>
      <w:r w:rsidR="002B012E">
        <w:rPr>
          <w:rFonts w:ascii="Times New Roman" w:eastAsia="Times New Roman" w:hAnsi="Times New Roman"/>
          <w:sz w:val="28"/>
          <w:szCs w:val="28"/>
          <w:lang w:eastAsia="ru-RU"/>
        </w:rPr>
        <w:t>ається)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натурі (на місцевості)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меж земельн</w:t>
      </w:r>
      <w:r w:rsidR="002B012E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 w:rsidR="002B012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пасовища, 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власниці сертифікатів на право на земельну частку (пай) земель КСП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для ведення товарного сільськогосподарського виробництва, розташованих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00E71" w:rsidRPr="00652234" w:rsidRDefault="00B00E71" w:rsidP="00B00E71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00E71" w:rsidRDefault="00B00E71" w:rsidP="00B00E71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(відновлення) в натурі (на місцевості) меж земельн</w:t>
      </w:r>
      <w:r w:rsidR="002B012E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 w:rsidR="002B012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пай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2295 (пасовища), пай № 1438 (сіножаті)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приватну власність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314A65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сертифікату на право на земельну частку (пай) КСП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для ведення товарного сільськогосподарського виробництва, розташованих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області.</w:t>
      </w:r>
    </w:p>
    <w:p w:rsidR="00B00E71" w:rsidRPr="00652234" w:rsidRDefault="00B00E71" w:rsidP="00B00E71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E71" w:rsidRDefault="00B00E71" w:rsidP="00B00E71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Виділити в натурі (на місцевості) – земельні ділянки пай № 2295, загальною площею 1,8754 га - пасовища, кадастровий номер 4422588800:12:028:0172, пай № 1438, загальною площею 1,5634 га – сіножаті, кадастровий номер 4422588800:12:028:0108,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314A65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 земельної частки (пай) КСП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для ведення товарного сільськогосподарського виробництва, розташованих за межами населеного пункту, на території, яка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 (згідно з додатком).</w:t>
      </w:r>
    </w:p>
    <w:p w:rsidR="00B00E71" w:rsidRDefault="00B00E71" w:rsidP="00B00E71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E71" w:rsidRDefault="00B00E71" w:rsidP="00B00E7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Довести до відома громадянці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314A65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про необхідність державної реєстрації права власності на дану земельну ділянку.</w:t>
      </w:r>
    </w:p>
    <w:p w:rsidR="00B00E71" w:rsidRDefault="00B00E71" w:rsidP="00B00E7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E71" w:rsidRDefault="00B00E71" w:rsidP="00B00E7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</w:t>
      </w:r>
      <w:r w:rsidR="005A6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земельно–кадастрову документацію.</w:t>
      </w:r>
    </w:p>
    <w:p w:rsidR="00B00E71" w:rsidRDefault="00B00E71" w:rsidP="00B00E7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E71" w:rsidRDefault="00B00E71" w:rsidP="00B00E7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D4E" w:rsidRPr="005A6D4E" w:rsidRDefault="005A6D4E" w:rsidP="005A6D4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5A6D4E">
        <w:rPr>
          <w:rFonts w:ascii="Times New Roman" w:eastAsia="MS Mincho" w:hAnsi="Times New Roman"/>
          <w:sz w:val="28"/>
          <w:szCs w:val="28"/>
          <w:lang w:eastAsia="ja-JP"/>
        </w:rPr>
        <w:t xml:space="preserve">Перший заступник голови, </w:t>
      </w:r>
    </w:p>
    <w:p w:rsidR="005A6D4E" w:rsidRPr="005A6D4E" w:rsidRDefault="005A6D4E" w:rsidP="005A6D4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proofErr w:type="spellStart"/>
      <w:r w:rsidRPr="005A6D4E">
        <w:rPr>
          <w:rFonts w:ascii="Times New Roman" w:eastAsia="MS Mincho" w:hAnsi="Times New Roman"/>
          <w:sz w:val="28"/>
          <w:szCs w:val="28"/>
          <w:lang w:eastAsia="ja-JP"/>
        </w:rPr>
        <w:t>в.о</w:t>
      </w:r>
      <w:proofErr w:type="spellEnd"/>
      <w:r w:rsidRPr="005A6D4E">
        <w:rPr>
          <w:rFonts w:ascii="Times New Roman" w:eastAsia="MS Mincho" w:hAnsi="Times New Roman"/>
          <w:sz w:val="28"/>
          <w:szCs w:val="28"/>
          <w:lang w:eastAsia="ja-JP"/>
        </w:rPr>
        <w:t>. голови райдержадміністрації                                                      С. М.Трубіцин</w:t>
      </w:r>
    </w:p>
    <w:p w:rsidR="00B00E71" w:rsidRDefault="00B00E71" w:rsidP="00B00E7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E71" w:rsidRDefault="00B00E71" w:rsidP="00B00E71"/>
    <w:p w:rsidR="00B00E71" w:rsidRDefault="00B00E71" w:rsidP="00B00E71"/>
    <w:p w:rsidR="00B00E71" w:rsidRDefault="00B00E71" w:rsidP="00B00E71"/>
    <w:p w:rsidR="00B00E71" w:rsidRDefault="00B00E71" w:rsidP="00B00E71"/>
    <w:p w:rsidR="00847DE6" w:rsidRDefault="00847DE6">
      <w:r>
        <w:br w:type="page"/>
      </w:r>
    </w:p>
    <w:p w:rsidR="00847DE6" w:rsidRPr="00900D5B" w:rsidRDefault="00847DE6" w:rsidP="00847DE6">
      <w:pPr>
        <w:tabs>
          <w:tab w:val="left" w:pos="5103"/>
        </w:tabs>
        <w:suppressAutoHyphens/>
        <w:autoSpaceDE w:val="0"/>
        <w:spacing w:after="0" w:line="240" w:lineRule="auto"/>
        <w:ind w:left="4956" w:firstLine="573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Додаток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47DE6" w:rsidRPr="00900D5B" w:rsidRDefault="00847DE6" w:rsidP="00847DE6">
      <w:pPr>
        <w:tabs>
          <w:tab w:val="left" w:pos="5103"/>
        </w:tabs>
        <w:suppressAutoHyphens/>
        <w:spacing w:after="0" w:line="240" w:lineRule="auto"/>
        <w:ind w:firstLine="573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    </w:t>
      </w:r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 xml:space="preserve">до </w:t>
      </w:r>
      <w:proofErr w:type="spellStart"/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>розпорядження</w:t>
      </w:r>
      <w:proofErr w:type="spellEnd"/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>голови</w:t>
      </w:r>
      <w:proofErr w:type="spellEnd"/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</w:p>
    <w:p w:rsidR="00847DE6" w:rsidRPr="00900D5B" w:rsidRDefault="00847DE6" w:rsidP="00847DE6">
      <w:pPr>
        <w:tabs>
          <w:tab w:val="left" w:pos="5103"/>
        </w:tabs>
        <w:suppressAutoHyphens/>
        <w:spacing w:after="0" w:line="240" w:lineRule="auto"/>
        <w:ind w:firstLine="573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    </w:t>
      </w:r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>Марківської р</w:t>
      </w:r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>ай</w:t>
      </w:r>
      <w:proofErr w:type="spellStart"/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>онної</w:t>
      </w:r>
      <w:proofErr w:type="spellEnd"/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47DE6" w:rsidRPr="00900D5B" w:rsidRDefault="00847DE6" w:rsidP="00847DE6">
      <w:pPr>
        <w:tabs>
          <w:tab w:val="left" w:pos="5103"/>
        </w:tabs>
        <w:suppressAutoHyphens/>
        <w:spacing w:after="0" w:line="240" w:lineRule="auto"/>
        <w:ind w:left="4956" w:firstLine="573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>держа</w:t>
      </w:r>
      <w:proofErr w:type="spellStart"/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>вної</w:t>
      </w:r>
      <w:proofErr w:type="spellEnd"/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Start"/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>дм</w:t>
      </w:r>
      <w:proofErr w:type="gramEnd"/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>іністрації</w:t>
      </w:r>
      <w:proofErr w:type="spellEnd"/>
    </w:p>
    <w:p w:rsidR="00847DE6" w:rsidRPr="00900D5B" w:rsidRDefault="00847DE6" w:rsidP="00847DE6">
      <w:pPr>
        <w:suppressAutoHyphens/>
        <w:spacing w:after="0" w:line="240" w:lineRule="auto"/>
        <w:ind w:left="4956" w:firstLine="573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>Луганської області</w:t>
      </w:r>
    </w:p>
    <w:p w:rsidR="00847DE6" w:rsidRPr="00900D5B" w:rsidRDefault="00847DE6" w:rsidP="00847DE6">
      <w:pPr>
        <w:spacing w:after="0" w:line="240" w:lineRule="auto"/>
        <w:ind w:left="4956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       </w:t>
      </w:r>
      <w:r w:rsidRPr="00900D5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від </w:t>
      </w:r>
      <w:r w:rsidRPr="00900D5B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01</w:t>
      </w:r>
      <w:r w:rsidRPr="00900D5B"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грудня</w:t>
      </w:r>
      <w:r w:rsidRPr="00900D5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2017 р. № </w:t>
      </w:r>
      <w:r w:rsidRPr="00900D5B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val="ru-RU" w:eastAsia="ru-RU"/>
        </w:rPr>
        <w:t>50</w:t>
      </w:r>
    </w:p>
    <w:p w:rsidR="00B00E71" w:rsidRPr="00862F95" w:rsidRDefault="00B00E71" w:rsidP="00847DE6">
      <w:pPr>
        <w:shd w:val="clear" w:color="auto" w:fill="FFFFFF"/>
        <w:spacing w:after="0"/>
        <w:ind w:left="4500" w:right="84"/>
        <w:rPr>
          <w:rFonts w:ascii="Times New Roman" w:hAnsi="Times New Roman"/>
          <w:sz w:val="28"/>
          <w:szCs w:val="28"/>
        </w:rPr>
      </w:pPr>
    </w:p>
    <w:p w:rsidR="00B00E71" w:rsidRPr="00862F95" w:rsidRDefault="00B00E71" w:rsidP="00847DE6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847DE6" w:rsidRDefault="00B00E71" w:rsidP="00847DE6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часку (пай) земель КСП «</w:t>
      </w:r>
      <w:proofErr w:type="spellStart"/>
      <w:r>
        <w:rPr>
          <w:rFonts w:ascii="Times New Roman" w:hAnsi="Times New Roman"/>
          <w:sz w:val="28"/>
          <w:szCs w:val="28"/>
        </w:rPr>
        <w:t>Марківське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», що отримують земельну часку (пай) в натурі (на місцевості) </w:t>
      </w:r>
      <w:r w:rsidR="00847DE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пасовища, сіножаті</w:t>
      </w:r>
      <w:r w:rsidR="00847DE6">
        <w:rPr>
          <w:rFonts w:ascii="Times New Roman" w:hAnsi="Times New Roman"/>
          <w:sz w:val="28"/>
          <w:szCs w:val="28"/>
        </w:rPr>
        <w:t>)</w:t>
      </w:r>
      <w:r w:rsidRPr="00862F95">
        <w:rPr>
          <w:rFonts w:ascii="Times New Roman" w:hAnsi="Times New Roman"/>
          <w:sz w:val="28"/>
          <w:szCs w:val="28"/>
        </w:rPr>
        <w:t>, розташован</w:t>
      </w:r>
      <w:r>
        <w:rPr>
          <w:rFonts w:ascii="Times New Roman" w:hAnsi="Times New Roman"/>
          <w:sz w:val="28"/>
          <w:szCs w:val="28"/>
        </w:rPr>
        <w:t>их</w:t>
      </w:r>
      <w:r w:rsidRPr="00862F95">
        <w:rPr>
          <w:rFonts w:ascii="Times New Roman" w:hAnsi="Times New Roman"/>
          <w:sz w:val="28"/>
          <w:szCs w:val="28"/>
        </w:rPr>
        <w:t xml:space="preserve">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в</w:t>
      </w:r>
    </w:p>
    <w:p w:rsidR="00B00E71" w:rsidRPr="00862F95" w:rsidRDefault="00B00E71" w:rsidP="00847DE6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Сичанській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B00E71" w:rsidRPr="00862F95" w:rsidRDefault="00B00E71" w:rsidP="00847DE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B00E71" w:rsidRPr="00862F95" w:rsidTr="007E55E2">
        <w:trPr>
          <w:trHeight w:val="461"/>
        </w:trPr>
        <w:tc>
          <w:tcPr>
            <w:tcW w:w="594" w:type="dxa"/>
            <w:vMerge w:val="restart"/>
            <w:vAlign w:val="center"/>
          </w:tcPr>
          <w:p w:rsidR="00B00E71" w:rsidRPr="00862F95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B00E71" w:rsidRPr="00862F95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B00E71" w:rsidRPr="00862F95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71" w:rsidRPr="00862F95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71" w:rsidRPr="00862F95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B00E71" w:rsidRPr="00862F95" w:rsidTr="007E55E2">
        <w:trPr>
          <w:trHeight w:val="1060"/>
        </w:trPr>
        <w:tc>
          <w:tcPr>
            <w:tcW w:w="594" w:type="dxa"/>
            <w:vMerge/>
            <w:vAlign w:val="center"/>
          </w:tcPr>
          <w:p w:rsidR="00B00E71" w:rsidRPr="00862F95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B00E71" w:rsidRPr="00862F95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B00E71" w:rsidRPr="00862F95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71" w:rsidRPr="00862F95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71" w:rsidRPr="00862F95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пасовища сіножаті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71" w:rsidRPr="00862F95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E71" w:rsidRPr="00862F95" w:rsidTr="007E55E2">
        <w:tc>
          <w:tcPr>
            <w:tcW w:w="594" w:type="dxa"/>
            <w:vAlign w:val="center"/>
          </w:tcPr>
          <w:p w:rsidR="00B00E71" w:rsidRPr="00862F95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B00E71" w:rsidRPr="00862F95" w:rsidRDefault="00B00E71" w:rsidP="00314A6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</w:t>
            </w:r>
            <w:r w:rsidR="00314A6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B00E71" w:rsidRPr="00862F95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0E71" w:rsidRPr="00862F95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B00E71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0154245</w:t>
            </w:r>
          </w:p>
          <w:p w:rsidR="00B00E71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B00E71" w:rsidRPr="00862F95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0154245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B00E71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0E71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0E71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2295</w:t>
            </w:r>
          </w:p>
          <w:p w:rsidR="00B00E71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0E71" w:rsidRPr="00862F95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00E71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0E71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0E71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1,8754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0E71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0E71" w:rsidRPr="00862F95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1,5634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0E71" w:rsidRPr="00862F95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0E71" w:rsidRPr="00862F95" w:rsidTr="007E55E2">
        <w:tc>
          <w:tcPr>
            <w:tcW w:w="594" w:type="dxa"/>
            <w:vAlign w:val="center"/>
          </w:tcPr>
          <w:p w:rsidR="00B00E71" w:rsidRPr="00862F95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B00E71" w:rsidRPr="00862F95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B00E71" w:rsidRPr="00862F95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B00E71" w:rsidRPr="00862F95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B00E71" w:rsidRPr="00862F95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3,4388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B00E71" w:rsidRPr="00862F95" w:rsidRDefault="00B00E71" w:rsidP="00847D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B00E71" w:rsidRPr="00314A65" w:rsidRDefault="00B00E71" w:rsidP="00847DE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00E71" w:rsidRPr="00314A65" w:rsidRDefault="00B00E71" w:rsidP="00847DE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DE6" w:rsidRPr="006A2614" w:rsidRDefault="00847DE6" w:rsidP="00847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 xml:space="preserve">Керівник апарату </w:t>
      </w:r>
    </w:p>
    <w:p w:rsidR="00847DE6" w:rsidRPr="006A2614" w:rsidRDefault="00847DE6" w:rsidP="00847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>райдержадміністрації</w:t>
      </w: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К. М. Тищенко</w:t>
      </w:r>
    </w:p>
    <w:p w:rsidR="00847DE6" w:rsidRPr="00847DE6" w:rsidRDefault="00847DE6" w:rsidP="00847DE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47DE6" w:rsidRPr="00847DE6" w:rsidSect="002B012E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CF"/>
    <w:rsid w:val="002B012E"/>
    <w:rsid w:val="00314A65"/>
    <w:rsid w:val="005A6D4E"/>
    <w:rsid w:val="00847DE6"/>
    <w:rsid w:val="008578D5"/>
    <w:rsid w:val="008B64CF"/>
    <w:rsid w:val="00B00E71"/>
    <w:rsid w:val="00E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7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E71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7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E71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2324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5</cp:revision>
  <cp:lastPrinted>2017-12-01T07:14:00Z</cp:lastPrinted>
  <dcterms:created xsi:type="dcterms:W3CDTF">2017-11-30T13:03:00Z</dcterms:created>
  <dcterms:modified xsi:type="dcterms:W3CDTF">2018-01-05T09:27:00Z</dcterms:modified>
</cp:coreProperties>
</file>