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11" w:rsidRPr="007E7911" w:rsidRDefault="007E7911" w:rsidP="007E7911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7E7911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329B9AF" wp14:editId="52C56D0D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11" w:rsidRPr="007E7911" w:rsidRDefault="007E7911" w:rsidP="007E7911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7E7911" w:rsidRPr="007E7911" w:rsidRDefault="007E7911" w:rsidP="007E7911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7E7911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7E7911" w:rsidRPr="007E7911" w:rsidRDefault="007E7911" w:rsidP="007E7911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E791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7E791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7E791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7E7911" w:rsidRPr="007E7911" w:rsidRDefault="007E7911" w:rsidP="007E7911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E7911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7E7911" w:rsidRPr="007E7911" w:rsidRDefault="007E7911" w:rsidP="007E7911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7E7911" w:rsidRPr="007E7911" w:rsidRDefault="007E7911" w:rsidP="007E7911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7E7911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7E7911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7E7911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7E7911" w:rsidRPr="007E7911" w:rsidRDefault="007E7911" w:rsidP="007E7911">
      <w:pPr>
        <w:autoSpaceDE w:val="0"/>
        <w:autoSpaceDN w:val="0"/>
        <w:adjustRightInd w:val="0"/>
        <w:spacing w:after="0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7E7911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7E7911" w:rsidRPr="007E7911" w:rsidRDefault="007E7911" w:rsidP="007E7911">
      <w:pPr>
        <w:autoSpaceDE w:val="0"/>
        <w:autoSpaceDN w:val="0"/>
        <w:adjustRightInd w:val="0"/>
        <w:spacing w:after="0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7E7911" w:rsidRPr="007E7911" w:rsidRDefault="007E7911" w:rsidP="007E7911">
      <w:pPr>
        <w:tabs>
          <w:tab w:val="left" w:pos="0"/>
        </w:tabs>
        <w:spacing w:after="0"/>
        <w:ind w:right="11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791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«21» </w:t>
      </w:r>
      <w:r w:rsidRPr="007E7911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7E791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7E7911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7E7911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7E7911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7E791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7E7911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7E7911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75</w:t>
      </w:r>
    </w:p>
    <w:p w:rsidR="007E7911" w:rsidRPr="007E7911" w:rsidRDefault="007E7911" w:rsidP="007E7911">
      <w:pPr>
        <w:spacing w:after="0"/>
        <w:ind w:right="113"/>
        <w:rPr>
          <w:rFonts w:ascii="Times New Roman" w:hAnsi="Times New Roman"/>
          <w:sz w:val="28"/>
          <w:szCs w:val="28"/>
        </w:rPr>
      </w:pPr>
    </w:p>
    <w:p w:rsidR="00BB74B5" w:rsidRPr="00652234" w:rsidRDefault="00BB74B5" w:rsidP="007E7911">
      <w:pPr>
        <w:spacing w:after="0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7911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E7911">
        <w:rPr>
          <w:rFonts w:ascii="Times New Roman" w:eastAsia="Times New Roman" w:hAnsi="Times New Roman"/>
          <w:sz w:val="28"/>
          <w:szCs w:val="24"/>
          <w:lang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рдження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7E79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7E79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715 (ріллі)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</w:t>
      </w:r>
      <w:r w:rsidR="00C2130F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7E791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Бондарівської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BB74B5" w:rsidRPr="00652234" w:rsidRDefault="00BB74B5" w:rsidP="00BB74B5">
      <w:pPr>
        <w:spacing w:after="0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74B5" w:rsidRPr="00652234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="007E7911"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2130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911">
        <w:rPr>
          <w:rFonts w:ascii="Times New Roman" w:eastAsia="Times New Roman" w:hAnsi="Times New Roman"/>
          <w:sz w:val="28"/>
          <w:szCs w:val="28"/>
          <w:lang w:eastAsia="ru-RU"/>
        </w:rPr>
        <w:t>(додається)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911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715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рілля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«Маяк» для ведення товарного сільськогоспода</w:t>
      </w:r>
      <w:r w:rsidR="007E7911">
        <w:rPr>
          <w:rFonts w:ascii="Times New Roman" w:eastAsia="Times New Roman" w:hAnsi="Times New Roman"/>
          <w:sz w:val="28"/>
          <w:szCs w:val="28"/>
          <w:lang w:eastAsia="ru-RU"/>
        </w:rPr>
        <w:t>рського виробництва, розташовану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Бондарівській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74B5" w:rsidRPr="00652234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74B5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715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рілля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Б</w:t>
      </w:r>
      <w:r w:rsidR="00C2130F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«Маяк», для ведення товарного сільськогосподарського виробництва, розташован</w:t>
      </w:r>
      <w:r w:rsidR="00064AA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Бондарівській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BB74B5" w:rsidRPr="00652234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4B5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715, загальною площею 4,5950 га - рілл</w:t>
      </w:r>
      <w:r w:rsidR="00AE74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кадастровий номер 4422581100:07:001:0005, гр. Б</w:t>
      </w:r>
      <w:r w:rsidR="00C2130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«Маяк», для ведення товарного сільськогосподарського виробництва, розташован</w:t>
      </w:r>
      <w:r w:rsidR="00AE74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Бондарівській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BB74B5" w:rsidRDefault="00BB74B5" w:rsidP="00BB74B5">
      <w:pPr>
        <w:spacing w:after="0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4B5" w:rsidRDefault="00BB74B5" w:rsidP="00BB74B5">
      <w:pPr>
        <w:tabs>
          <w:tab w:val="num" w:pos="142"/>
        </w:tabs>
        <w:spacing w:after="0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AE744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C2130F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BB74B5" w:rsidRDefault="00BB74B5" w:rsidP="00BB74B5">
      <w:pPr>
        <w:tabs>
          <w:tab w:val="num" w:pos="142"/>
        </w:tabs>
        <w:spacing w:after="0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4B5" w:rsidRDefault="00BB74B5" w:rsidP="00BB74B5">
      <w:pPr>
        <w:tabs>
          <w:tab w:val="num" w:pos="142"/>
        </w:tabs>
        <w:spacing w:after="0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AE7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BB74B5" w:rsidRDefault="00BB74B5" w:rsidP="00BB74B5">
      <w:pPr>
        <w:tabs>
          <w:tab w:val="num" w:pos="142"/>
        </w:tabs>
        <w:spacing w:after="0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4B5" w:rsidRDefault="00BB74B5" w:rsidP="00BB74B5">
      <w:pPr>
        <w:tabs>
          <w:tab w:val="num" w:pos="142"/>
        </w:tabs>
        <w:spacing w:after="0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911" w:rsidRPr="007E7911" w:rsidRDefault="007E7911" w:rsidP="007E7911">
      <w:pPr>
        <w:spacing w:after="0"/>
        <w:ind w:right="-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11">
        <w:rPr>
          <w:rFonts w:ascii="Times New Roman" w:eastAsia="Times New Roman" w:hAnsi="Times New Roman"/>
          <w:sz w:val="28"/>
          <w:szCs w:val="28"/>
          <w:lang w:eastAsia="ru-RU"/>
        </w:rPr>
        <w:t>Голова районної</w:t>
      </w:r>
    </w:p>
    <w:p w:rsidR="007E7911" w:rsidRPr="007E7911" w:rsidRDefault="007E7911" w:rsidP="007E7911">
      <w:pPr>
        <w:spacing w:after="0"/>
        <w:ind w:right="-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11">
        <w:rPr>
          <w:rFonts w:ascii="Times New Roman" w:eastAsia="Times New Roman" w:hAnsi="Times New Roman"/>
          <w:sz w:val="28"/>
          <w:szCs w:val="28"/>
          <w:lang w:eastAsia="ru-RU"/>
        </w:rPr>
        <w:t>державної адміністрації                                                           І.</w:t>
      </w:r>
      <w:r w:rsidRPr="007E79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7911">
        <w:rPr>
          <w:rFonts w:ascii="Times New Roman" w:eastAsia="Times New Roman" w:hAnsi="Times New Roman"/>
          <w:sz w:val="28"/>
          <w:szCs w:val="28"/>
          <w:lang w:eastAsia="ru-RU"/>
        </w:rPr>
        <w:t>А. Дзюба</w:t>
      </w:r>
    </w:p>
    <w:p w:rsidR="007E7911" w:rsidRPr="007E7911" w:rsidRDefault="007E7911" w:rsidP="007E79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D8B" w:rsidRDefault="00C44D8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4D8B" w:rsidRPr="00AD0D3F" w:rsidRDefault="00C44D8B" w:rsidP="00C44D8B">
      <w:pPr>
        <w:suppressAutoHyphens/>
        <w:autoSpaceDE w:val="0"/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C44D8B" w:rsidRPr="00AD0D3F" w:rsidRDefault="00C44D8B" w:rsidP="00C44D8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C44D8B" w:rsidRPr="00AD0D3F" w:rsidRDefault="00C44D8B" w:rsidP="00C44D8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44D8B" w:rsidRPr="00AD0D3F" w:rsidRDefault="00C44D8B" w:rsidP="00C44D8B">
      <w:pPr>
        <w:suppressAutoHyphens/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C44D8B" w:rsidRPr="00AD0D3F" w:rsidRDefault="00C44D8B" w:rsidP="00C44D8B">
      <w:pPr>
        <w:suppressAutoHyphens/>
        <w:spacing w:after="0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AD0D3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AD0D3F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C44D8B" w:rsidRPr="00AD0D3F" w:rsidRDefault="00C44D8B" w:rsidP="00C44D8B">
      <w:pPr>
        <w:spacing w:after="0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21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березня</w:t>
      </w:r>
      <w:r w:rsidRPr="00AD0D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75</w:t>
      </w:r>
      <w:r w:rsidRPr="00AD0D3F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C44D8B" w:rsidRDefault="00C44D8B" w:rsidP="00C44D8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74B5" w:rsidRPr="00862F95" w:rsidRDefault="00BB74B5" w:rsidP="00C44D8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BB74B5" w:rsidRPr="00862F95" w:rsidRDefault="00BB74B5" w:rsidP="00C44D8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C44D8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Маяк</w:t>
      </w:r>
      <w:r w:rsidRPr="00862F95">
        <w:rPr>
          <w:rFonts w:ascii="Times New Roman" w:hAnsi="Times New Roman"/>
          <w:sz w:val="28"/>
          <w:szCs w:val="28"/>
        </w:rPr>
        <w:t xml:space="preserve"> », що отримують земельну час</w:t>
      </w:r>
      <w:r w:rsidR="00C44D8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рілля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 w:rsidR="00C44D8B"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Бондарівській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BB74B5" w:rsidRPr="00862F95" w:rsidRDefault="00BB74B5" w:rsidP="00C44D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BB74B5" w:rsidRPr="00862F95" w:rsidTr="00BC093A">
        <w:trPr>
          <w:trHeight w:val="461"/>
        </w:trPr>
        <w:tc>
          <w:tcPr>
            <w:tcW w:w="594" w:type="dxa"/>
            <w:vMerge w:val="restart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BB74B5" w:rsidRPr="00862F95" w:rsidTr="00BC093A">
        <w:trPr>
          <w:trHeight w:val="1060"/>
        </w:trPr>
        <w:tc>
          <w:tcPr>
            <w:tcW w:w="594" w:type="dxa"/>
            <w:vMerge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рілля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4B5" w:rsidRPr="00862F95" w:rsidTr="00BC093A">
        <w:tc>
          <w:tcPr>
            <w:tcW w:w="594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BB74B5" w:rsidRPr="00862F95" w:rsidRDefault="00BB74B5" w:rsidP="00C2130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C213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0023438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4,5950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74B5" w:rsidRPr="00862F95" w:rsidTr="00BC093A">
        <w:tc>
          <w:tcPr>
            <w:tcW w:w="594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4,5950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BB74B5" w:rsidRPr="00862F95" w:rsidRDefault="00BB74B5" w:rsidP="00C44D8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BB74B5" w:rsidRPr="00862F95" w:rsidRDefault="00BB74B5" w:rsidP="00C44D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4B5" w:rsidRPr="00862F95" w:rsidRDefault="00BB74B5" w:rsidP="00C44D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D8B" w:rsidRDefault="00C44D8B" w:rsidP="00C44D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BB74B5" w:rsidRPr="00862F95" w:rsidRDefault="00C44D8B" w:rsidP="00C44D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райдержадміністрації                                                        К. М. Тищенко</w:t>
      </w:r>
    </w:p>
    <w:p w:rsidR="00BB74B5" w:rsidRDefault="00BB74B5" w:rsidP="00C44D8B">
      <w:pPr>
        <w:spacing w:after="0"/>
        <w:rPr>
          <w:rFonts w:ascii="Times New Roman" w:hAnsi="Times New Roman"/>
          <w:lang w:val="ru-RU"/>
        </w:rPr>
      </w:pPr>
    </w:p>
    <w:p w:rsidR="00BB74B5" w:rsidRDefault="00BB74B5" w:rsidP="00C44D8B">
      <w:pPr>
        <w:spacing w:after="0"/>
        <w:rPr>
          <w:rFonts w:ascii="Times New Roman" w:hAnsi="Times New Roman"/>
          <w:lang w:val="ru-RU"/>
        </w:rPr>
      </w:pPr>
    </w:p>
    <w:p w:rsidR="00BB74B5" w:rsidRDefault="00BB74B5" w:rsidP="00C44D8B">
      <w:pPr>
        <w:spacing w:after="0"/>
        <w:rPr>
          <w:rFonts w:ascii="Times New Roman" w:hAnsi="Times New Roman"/>
          <w:lang w:val="ru-RU"/>
        </w:rPr>
      </w:pPr>
    </w:p>
    <w:p w:rsidR="00BB74B5" w:rsidRPr="0048630B" w:rsidRDefault="00BB74B5" w:rsidP="00C44D8B">
      <w:pPr>
        <w:spacing w:after="0"/>
        <w:rPr>
          <w:rFonts w:ascii="Times New Roman" w:hAnsi="Times New Roman"/>
          <w:sz w:val="28"/>
          <w:szCs w:val="28"/>
        </w:rPr>
      </w:pPr>
    </w:p>
    <w:p w:rsidR="00413E6D" w:rsidRDefault="00413E6D"/>
    <w:sectPr w:rsidR="00413E6D" w:rsidSect="007E791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DF"/>
    <w:rsid w:val="00064AAD"/>
    <w:rsid w:val="00413E6D"/>
    <w:rsid w:val="007D69DF"/>
    <w:rsid w:val="007E7911"/>
    <w:rsid w:val="00AE744F"/>
    <w:rsid w:val="00BB74B5"/>
    <w:rsid w:val="00C2130F"/>
    <w:rsid w:val="00C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B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B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B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B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7</cp:revision>
  <dcterms:created xsi:type="dcterms:W3CDTF">2018-03-21T08:24:00Z</dcterms:created>
  <dcterms:modified xsi:type="dcterms:W3CDTF">2018-04-05T11:44:00Z</dcterms:modified>
</cp:coreProperties>
</file>